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BD6C" w14:textId="43082627" w:rsidR="00560C09" w:rsidRPr="007D5BF5" w:rsidRDefault="00560C09" w:rsidP="007D5BF5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D5BF5">
        <w:rPr>
          <w:rFonts w:ascii="Arial" w:hAnsi="Arial" w:cs="Arial"/>
          <w:b/>
          <w:bCs/>
          <w:sz w:val="24"/>
          <w:szCs w:val="24"/>
        </w:rPr>
        <w:t>Terrington St John Parish Council</w:t>
      </w:r>
    </w:p>
    <w:p w14:paraId="3B4B5DE3" w14:textId="2AAC7179" w:rsidR="00560C09" w:rsidRPr="007D5BF5" w:rsidRDefault="00560C09" w:rsidP="007D5BF5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D5BF5">
        <w:rPr>
          <w:rFonts w:ascii="Arial" w:hAnsi="Arial" w:cs="Arial"/>
          <w:b/>
          <w:bCs/>
          <w:sz w:val="24"/>
          <w:szCs w:val="24"/>
        </w:rPr>
        <w:t>Asset Valuation Policy for Annual Governance and Accountability Return</w:t>
      </w:r>
    </w:p>
    <w:p w14:paraId="2BE849A8" w14:textId="77777777" w:rsidR="00560C09" w:rsidRPr="007D5BF5" w:rsidRDefault="00560C09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555D9CAA" w14:textId="3489F77D" w:rsidR="00560C09" w:rsidRPr="007D5BF5" w:rsidRDefault="00560C09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7D5BF5">
        <w:rPr>
          <w:rFonts w:ascii="Arial" w:hAnsi="Arial" w:cs="Arial"/>
          <w:sz w:val="24"/>
          <w:szCs w:val="24"/>
        </w:rPr>
        <w:t>This policy sets out the method of asset valuation adopted by this Council for AGAR</w:t>
      </w:r>
    </w:p>
    <w:p w14:paraId="034FFF60" w14:textId="4F725C8C" w:rsidR="00560C09" w:rsidRDefault="00560C09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7D5BF5">
        <w:rPr>
          <w:rFonts w:ascii="Arial" w:hAnsi="Arial" w:cs="Arial"/>
          <w:sz w:val="24"/>
          <w:szCs w:val="24"/>
        </w:rPr>
        <w:t>purposes to be effective from 2024/25 financial year onwards.</w:t>
      </w:r>
    </w:p>
    <w:p w14:paraId="50334033" w14:textId="77777777" w:rsidR="00261247" w:rsidRPr="007D5BF5" w:rsidRDefault="00261247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2174" w:rsidRPr="007D5BF5" w14:paraId="33898A67" w14:textId="77777777" w:rsidTr="00852174">
        <w:tc>
          <w:tcPr>
            <w:tcW w:w="4508" w:type="dxa"/>
          </w:tcPr>
          <w:p w14:paraId="68CF09DE" w14:textId="42FDCCBF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Asset Type</w:t>
            </w:r>
          </w:p>
        </w:tc>
        <w:tc>
          <w:tcPr>
            <w:tcW w:w="4508" w:type="dxa"/>
          </w:tcPr>
          <w:p w14:paraId="69BA84E7" w14:textId="423939C7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Approach</w:t>
            </w:r>
          </w:p>
        </w:tc>
      </w:tr>
      <w:tr w:rsidR="00852174" w:rsidRPr="007D5BF5" w14:paraId="61DE0952" w14:textId="77777777" w:rsidTr="00852174">
        <w:tc>
          <w:tcPr>
            <w:tcW w:w="4508" w:type="dxa"/>
          </w:tcPr>
          <w:p w14:paraId="3E8F6E41" w14:textId="534E8D84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Land</w:t>
            </w:r>
          </w:p>
        </w:tc>
        <w:tc>
          <w:tcPr>
            <w:tcW w:w="4508" w:type="dxa"/>
          </w:tcPr>
          <w:p w14:paraId="1F858F7A" w14:textId="5932C5C8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Land Our land holdings can be considered as “gifted or donated assets” so are to be valued as £1.</w:t>
            </w:r>
          </w:p>
        </w:tc>
      </w:tr>
      <w:tr w:rsidR="00852174" w:rsidRPr="007D5BF5" w14:paraId="13BD2D5E" w14:textId="77777777" w:rsidTr="00852174">
        <w:tc>
          <w:tcPr>
            <w:tcW w:w="4508" w:type="dxa"/>
          </w:tcPr>
          <w:p w14:paraId="1E186C01" w14:textId="628806E7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Known gifted or donated assets</w:t>
            </w:r>
          </w:p>
        </w:tc>
        <w:tc>
          <w:tcPr>
            <w:tcW w:w="4508" w:type="dxa"/>
          </w:tcPr>
          <w:p w14:paraId="29F41458" w14:textId="53942E5A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Value as £1.</w:t>
            </w:r>
          </w:p>
        </w:tc>
      </w:tr>
      <w:tr w:rsidR="00852174" w:rsidRPr="007D5BF5" w14:paraId="5F32D0D8" w14:textId="77777777" w:rsidTr="00852174">
        <w:tc>
          <w:tcPr>
            <w:tcW w:w="4508" w:type="dxa"/>
          </w:tcPr>
          <w:p w14:paraId="5B8227DE" w14:textId="164E3575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 xml:space="preserve">Property </w:t>
            </w:r>
          </w:p>
        </w:tc>
        <w:tc>
          <w:tcPr>
            <w:tcW w:w="4508" w:type="dxa"/>
          </w:tcPr>
          <w:p w14:paraId="2B405CBF" w14:textId="28FE4CCD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Estimated market value</w:t>
            </w:r>
          </w:p>
        </w:tc>
      </w:tr>
      <w:tr w:rsidR="00852174" w:rsidRPr="007D5BF5" w14:paraId="5B20610C" w14:textId="77777777" w:rsidTr="00852174">
        <w:tc>
          <w:tcPr>
            <w:tcW w:w="4508" w:type="dxa"/>
          </w:tcPr>
          <w:p w14:paraId="7C76F4AE" w14:textId="2F92E397" w:rsidR="00852174" w:rsidRPr="007D5BF5" w:rsidRDefault="00852174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All other assets</w:t>
            </w:r>
          </w:p>
        </w:tc>
        <w:tc>
          <w:tcPr>
            <w:tcW w:w="4508" w:type="dxa"/>
          </w:tcPr>
          <w:p w14:paraId="7A95AD25" w14:textId="6F82D8CB" w:rsidR="00852174" w:rsidRPr="007D5BF5" w:rsidRDefault="007D5BF5" w:rsidP="007D5BF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D5BF5">
              <w:rPr>
                <w:rFonts w:ascii="Arial" w:hAnsi="Arial" w:cs="Arial"/>
                <w:sz w:val="24"/>
                <w:szCs w:val="24"/>
              </w:rPr>
              <w:t>If the purchase price is unknown, the value recorded with be £1.</w:t>
            </w:r>
          </w:p>
        </w:tc>
      </w:tr>
    </w:tbl>
    <w:p w14:paraId="3C6EFB8E" w14:textId="77777777" w:rsidR="00852174" w:rsidRPr="007D5BF5" w:rsidRDefault="00852174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2B1BCBB" w14:textId="2D48F901" w:rsidR="00560C09" w:rsidRDefault="00560C09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7D5BF5">
        <w:rPr>
          <w:rFonts w:ascii="Arial" w:hAnsi="Arial" w:cs="Arial"/>
          <w:sz w:val="24"/>
          <w:szCs w:val="24"/>
        </w:rPr>
        <w:t>New and replacement assets will be entered on the register using values current at the time</w:t>
      </w:r>
      <w:r w:rsidR="007D5BF5">
        <w:rPr>
          <w:rFonts w:ascii="Arial" w:hAnsi="Arial" w:cs="Arial"/>
          <w:sz w:val="24"/>
          <w:szCs w:val="24"/>
        </w:rPr>
        <w:t xml:space="preserve"> </w:t>
      </w:r>
      <w:r w:rsidRPr="007D5BF5">
        <w:rPr>
          <w:rFonts w:ascii="Arial" w:hAnsi="Arial" w:cs="Arial"/>
          <w:sz w:val="24"/>
          <w:szCs w:val="24"/>
        </w:rPr>
        <w:t>of acquisition according to the above rules.</w:t>
      </w:r>
      <w:r w:rsidR="007D5BF5" w:rsidRPr="007D5BF5">
        <w:rPr>
          <w:rFonts w:ascii="Arial" w:hAnsi="Arial" w:cs="Arial"/>
          <w:sz w:val="24"/>
          <w:szCs w:val="24"/>
        </w:rPr>
        <w:t xml:space="preserve"> Assets that are purchased as part of the Parish Partnership scheme will be recorded at the full price, rather than the 50% paid by the Parish Council.  </w:t>
      </w:r>
    </w:p>
    <w:p w14:paraId="4AA1F69D" w14:textId="77777777" w:rsidR="007D5BF5" w:rsidRPr="007D5BF5" w:rsidRDefault="007D5BF5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05E63EDF" w14:textId="1B7ADBCE" w:rsidR="00560C09" w:rsidRDefault="00560C09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7D5BF5">
        <w:rPr>
          <w:rFonts w:ascii="Arial" w:hAnsi="Arial" w:cs="Arial"/>
          <w:sz w:val="24"/>
          <w:szCs w:val="24"/>
        </w:rPr>
        <w:t>In most circumstances once recorded in the asset register, the recorded value of the asset</w:t>
      </w:r>
      <w:r w:rsidR="007D5BF5">
        <w:rPr>
          <w:rFonts w:ascii="Arial" w:hAnsi="Arial" w:cs="Arial"/>
          <w:sz w:val="24"/>
          <w:szCs w:val="24"/>
        </w:rPr>
        <w:t xml:space="preserve"> </w:t>
      </w:r>
      <w:r w:rsidRPr="007D5BF5">
        <w:rPr>
          <w:rFonts w:ascii="Arial" w:hAnsi="Arial" w:cs="Arial"/>
          <w:sz w:val="24"/>
          <w:szCs w:val="24"/>
        </w:rPr>
        <w:t>will not change from year to year, unless the asset is materially enhanced. Commercial</w:t>
      </w:r>
      <w:r w:rsidR="007D5BF5">
        <w:rPr>
          <w:rFonts w:ascii="Arial" w:hAnsi="Arial" w:cs="Arial"/>
          <w:sz w:val="24"/>
          <w:szCs w:val="24"/>
        </w:rPr>
        <w:t xml:space="preserve"> </w:t>
      </w:r>
      <w:r w:rsidRPr="007D5BF5">
        <w:rPr>
          <w:rFonts w:ascii="Arial" w:hAnsi="Arial" w:cs="Arial"/>
          <w:sz w:val="24"/>
          <w:szCs w:val="24"/>
        </w:rPr>
        <w:t>concepts of depreciation, impairment adjustments, and revaluation are not required or</w:t>
      </w:r>
      <w:r w:rsidR="007D5BF5">
        <w:rPr>
          <w:rFonts w:ascii="Arial" w:hAnsi="Arial" w:cs="Arial"/>
          <w:sz w:val="24"/>
          <w:szCs w:val="24"/>
        </w:rPr>
        <w:t xml:space="preserve"> </w:t>
      </w:r>
      <w:r w:rsidRPr="007D5BF5">
        <w:rPr>
          <w:rFonts w:ascii="Arial" w:hAnsi="Arial" w:cs="Arial"/>
          <w:sz w:val="24"/>
          <w:szCs w:val="24"/>
        </w:rPr>
        <w:t>appropriate for this method of asset valuation. For reporting purposes therefore, the value of</w:t>
      </w:r>
      <w:r w:rsidR="007D5BF5">
        <w:rPr>
          <w:rFonts w:ascii="Arial" w:hAnsi="Arial" w:cs="Arial"/>
          <w:sz w:val="24"/>
          <w:szCs w:val="24"/>
        </w:rPr>
        <w:t xml:space="preserve"> </w:t>
      </w:r>
      <w:r w:rsidRPr="007D5BF5">
        <w:rPr>
          <w:rFonts w:ascii="Arial" w:hAnsi="Arial" w:cs="Arial"/>
          <w:sz w:val="24"/>
          <w:szCs w:val="24"/>
        </w:rPr>
        <w:t>fixed assets once entered on the register will usually stay constant throughout their life until</w:t>
      </w:r>
      <w:r w:rsidR="007D5BF5">
        <w:rPr>
          <w:rFonts w:ascii="Arial" w:hAnsi="Arial" w:cs="Arial"/>
          <w:sz w:val="24"/>
          <w:szCs w:val="24"/>
        </w:rPr>
        <w:t xml:space="preserve"> </w:t>
      </w:r>
      <w:r w:rsidRPr="007D5BF5">
        <w:rPr>
          <w:rFonts w:ascii="Arial" w:hAnsi="Arial" w:cs="Arial"/>
          <w:sz w:val="24"/>
          <w:szCs w:val="24"/>
        </w:rPr>
        <w:t>disposal.</w:t>
      </w:r>
    </w:p>
    <w:p w14:paraId="225B3695" w14:textId="77777777" w:rsidR="007D5BF5" w:rsidRPr="007D5BF5" w:rsidRDefault="007D5BF5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1D777AF4" w14:textId="49342580" w:rsidR="00560C09" w:rsidRDefault="00560C09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7D5BF5">
        <w:rPr>
          <w:rFonts w:ascii="Arial" w:hAnsi="Arial" w:cs="Arial"/>
          <w:sz w:val="24"/>
          <w:szCs w:val="24"/>
        </w:rPr>
        <w:t>Entries on the asset register should be marked to indicate that the asset has been gifted or</w:t>
      </w:r>
      <w:r w:rsidR="007D5BF5">
        <w:rPr>
          <w:rFonts w:ascii="Arial" w:hAnsi="Arial" w:cs="Arial"/>
          <w:sz w:val="24"/>
          <w:szCs w:val="24"/>
        </w:rPr>
        <w:t xml:space="preserve"> </w:t>
      </w:r>
      <w:r w:rsidRPr="007D5BF5">
        <w:rPr>
          <w:rFonts w:ascii="Arial" w:hAnsi="Arial" w:cs="Arial"/>
          <w:sz w:val="24"/>
          <w:szCs w:val="24"/>
        </w:rPr>
        <w:t>donated.</w:t>
      </w:r>
    </w:p>
    <w:p w14:paraId="258730C4" w14:textId="77777777" w:rsidR="00261247" w:rsidRPr="007D5BF5" w:rsidRDefault="00261247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B4974B6" w14:textId="22097AE4" w:rsidR="00E46C21" w:rsidRPr="007D5BF5" w:rsidRDefault="00560C09" w:rsidP="007D5BF5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7D5BF5">
        <w:rPr>
          <w:rFonts w:ascii="Arial" w:hAnsi="Arial" w:cs="Arial"/>
          <w:sz w:val="24"/>
          <w:szCs w:val="24"/>
        </w:rPr>
        <w:t xml:space="preserve">Date Adopted: </w:t>
      </w:r>
      <w:r w:rsidR="007476B4">
        <w:rPr>
          <w:rFonts w:ascii="Arial" w:hAnsi="Arial" w:cs="Arial"/>
          <w:sz w:val="24"/>
          <w:szCs w:val="24"/>
        </w:rPr>
        <w:t>10</w:t>
      </w:r>
      <w:r w:rsidR="007476B4" w:rsidRPr="007476B4">
        <w:rPr>
          <w:rFonts w:ascii="Arial" w:hAnsi="Arial" w:cs="Arial"/>
          <w:sz w:val="24"/>
          <w:szCs w:val="24"/>
          <w:vertAlign w:val="superscript"/>
        </w:rPr>
        <w:t>th</w:t>
      </w:r>
      <w:r w:rsidR="007476B4">
        <w:rPr>
          <w:rFonts w:ascii="Arial" w:hAnsi="Arial" w:cs="Arial"/>
          <w:sz w:val="24"/>
          <w:szCs w:val="24"/>
        </w:rPr>
        <w:t xml:space="preserve"> September 2024</w:t>
      </w:r>
    </w:p>
    <w:sectPr w:rsidR="00E46C21" w:rsidRPr="007D5B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E493C" w14:textId="77777777" w:rsidR="00261247" w:rsidRDefault="00261247" w:rsidP="00261247">
      <w:pPr>
        <w:spacing w:after="0" w:line="240" w:lineRule="auto"/>
      </w:pPr>
      <w:r>
        <w:separator/>
      </w:r>
    </w:p>
  </w:endnote>
  <w:endnote w:type="continuationSeparator" w:id="0">
    <w:p w14:paraId="7D5FDC41" w14:textId="77777777" w:rsidR="00261247" w:rsidRDefault="00261247" w:rsidP="0026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86D4E" w14:textId="77777777" w:rsidR="00261247" w:rsidRDefault="00261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05C8" w14:textId="77777777" w:rsidR="00261247" w:rsidRDefault="00261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9C92" w14:textId="77777777" w:rsidR="00261247" w:rsidRDefault="00261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5D2B" w14:textId="77777777" w:rsidR="00261247" w:rsidRDefault="00261247" w:rsidP="00261247">
      <w:pPr>
        <w:spacing w:after="0" w:line="240" w:lineRule="auto"/>
      </w:pPr>
      <w:r>
        <w:separator/>
      </w:r>
    </w:p>
  </w:footnote>
  <w:footnote w:type="continuationSeparator" w:id="0">
    <w:p w14:paraId="4286C4EE" w14:textId="77777777" w:rsidR="00261247" w:rsidRDefault="00261247" w:rsidP="0026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C3C2" w14:textId="7F12C5D7" w:rsidR="00261247" w:rsidRDefault="00261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E2647" w14:textId="0E3CCCC2" w:rsidR="00261247" w:rsidRDefault="00261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9796" w14:textId="60AD9AA6" w:rsidR="00261247" w:rsidRDefault="002612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09"/>
    <w:rsid w:val="00065DAB"/>
    <w:rsid w:val="0019674A"/>
    <w:rsid w:val="00261247"/>
    <w:rsid w:val="00560C09"/>
    <w:rsid w:val="007476B4"/>
    <w:rsid w:val="007D5BF5"/>
    <w:rsid w:val="00852174"/>
    <w:rsid w:val="009B40CE"/>
    <w:rsid w:val="00A22A95"/>
    <w:rsid w:val="00AA7170"/>
    <w:rsid w:val="00C60F04"/>
    <w:rsid w:val="00CD0219"/>
    <w:rsid w:val="00E46C21"/>
    <w:rsid w:val="00EE1290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5A3705"/>
  <w15:chartTrackingRefBased/>
  <w15:docId w15:val="{55465B33-09A4-4ADC-87C3-1A3A14E7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C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5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1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47"/>
  </w:style>
  <w:style w:type="paragraph" w:styleId="Footer">
    <w:name w:val="footer"/>
    <w:basedOn w:val="Normal"/>
    <w:link w:val="FooterChar"/>
    <w:uiPriority w:val="99"/>
    <w:unhideWhenUsed/>
    <w:rsid w:val="00261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Robinson</dc:creator>
  <cp:keywords/>
  <dc:description/>
  <cp:lastModifiedBy>Gail Robinson</cp:lastModifiedBy>
  <cp:revision>2</cp:revision>
  <dcterms:created xsi:type="dcterms:W3CDTF">2024-10-02T13:27:00Z</dcterms:created>
  <dcterms:modified xsi:type="dcterms:W3CDTF">2024-10-02T13:27:00Z</dcterms:modified>
</cp:coreProperties>
</file>